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ind w:firstLine="0"/>
        <w:jc w:val="right"/>
        <w:widowControl w:val="off"/>
        <w:rPr>
          <w:sz w:val="24"/>
          <w:szCs w:val="28"/>
        </w:rPr>
      </w:pPr>
      <w:r>
        <w:rPr>
          <w:sz w:val="24"/>
          <w:szCs w:val="28"/>
        </w:rPr>
        <w:t xml:space="preserve">Вариант 3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711"/>
        <w:ind w:firstLine="0"/>
        <w:jc w:val="center"/>
        <w:widowControl w:val="off"/>
        <w:rPr>
          <w:rFonts w:eastAsia="Times"/>
          <w:spacing w:val="-4"/>
          <w:szCs w:val="28"/>
        </w:rPr>
      </w:pPr>
      <w:r>
        <w:rPr>
          <w:rFonts w:eastAsia="Times"/>
          <w:spacing w:val="-4"/>
          <w:szCs w:val="28"/>
        </w:rPr>
      </w:r>
      <w:r>
        <w:rPr>
          <w:rFonts w:eastAsia="Times"/>
          <w:spacing w:val="-4"/>
          <w:szCs w:val="28"/>
        </w:rPr>
      </w:r>
    </w:p>
    <w:p>
      <w:pPr>
        <w:pStyle w:val="711"/>
        <w:ind w:firstLine="0"/>
        <w:jc w:val="center"/>
        <w:widowControl w:val="off"/>
        <w:rPr>
          <w:b/>
          <w:szCs w:val="28"/>
        </w:rPr>
      </w:pPr>
      <w:r>
        <w:rPr>
          <w:rFonts w:eastAsia="Times"/>
          <w:b/>
          <w:spacing w:val="-4"/>
          <w:szCs w:val="28"/>
        </w:rPr>
        <w:t xml:space="preserve">Типовое техническое решение по</w:t>
      </w:r>
      <w:r>
        <w:rPr>
          <w:rFonts w:eastAsia="Times"/>
          <w:b/>
          <w:spacing w:val="-4"/>
          <w:szCs w:val="28"/>
        </w:rPr>
        <w:t xml:space="preserve"> организаци</w:t>
      </w:r>
      <w:r>
        <w:rPr>
          <w:rFonts w:eastAsia="Times"/>
          <w:b/>
          <w:spacing w:val="-4"/>
          <w:szCs w:val="28"/>
        </w:rPr>
        <w:t xml:space="preserve">и</w:t>
      </w:r>
      <w:r>
        <w:rPr>
          <w:rFonts w:eastAsia="Times"/>
          <w:b/>
          <w:spacing w:val="-4"/>
          <w:szCs w:val="28"/>
        </w:rPr>
        <w:t xml:space="preserve"> коммерческого учета электроэнергии в многоквартирных жилых домах</w:t>
      </w:r>
      <w:r>
        <w:rPr>
          <w:rFonts w:eastAsia="Times"/>
          <w:b/>
          <w:spacing w:val="-4"/>
          <w:szCs w:val="28"/>
        </w:rPr>
        <w:t xml:space="preserve">-</w:t>
      </w:r>
      <w:r>
        <w:rPr>
          <w:rFonts w:eastAsia="Times"/>
          <w:b/>
          <w:spacing w:val="-4"/>
          <w:szCs w:val="28"/>
        </w:rPr>
        <w:t xml:space="preserve">новостройках</w:t>
      </w:r>
      <w:r>
        <w:rPr>
          <w:rFonts w:eastAsia="Times"/>
          <w:b/>
          <w:spacing w:val="-4"/>
          <w:szCs w:val="28"/>
        </w:rPr>
        <w:t xml:space="preserve"> с использованием </w:t>
      </w:r>
      <w:r>
        <w:rPr>
          <w:rFonts w:eastAsia="Times"/>
          <w:b/>
          <w:spacing w:val="-4"/>
          <w:szCs w:val="28"/>
        </w:rPr>
        <w:t xml:space="preserve">самоорганизующейся </w:t>
      </w:r>
      <w:r>
        <w:rPr>
          <w:rFonts w:eastAsia="Times"/>
          <w:b/>
          <w:spacing w:val="-4"/>
          <w:szCs w:val="28"/>
          <w:lang w:val="en-US"/>
        </w:rPr>
        <w:t xml:space="preserve">ZigBee</w:t>
      </w:r>
      <w:r>
        <w:rPr>
          <w:rFonts w:eastAsia="Times"/>
          <w:b/>
          <w:spacing w:val="-4"/>
          <w:szCs w:val="28"/>
        </w:rPr>
        <w:t xml:space="preserve"> сети</w:t>
      </w:r>
      <w:r>
        <w:rPr>
          <w:rFonts w:eastAsia="Times"/>
          <w:b/>
          <w:spacing w:val="-4"/>
          <w:szCs w:val="28"/>
        </w:rPr>
        <w:t xml:space="preserve"> и проводного (</w:t>
      </w:r>
      <w:r>
        <w:rPr>
          <w:rFonts w:eastAsia="Times"/>
          <w:b/>
          <w:spacing w:val="-4"/>
          <w:szCs w:val="28"/>
          <w:lang w:val="en-US"/>
        </w:rPr>
        <w:t xml:space="preserve">Ethernet</w:t>
      </w:r>
      <w:r>
        <w:rPr>
          <w:rFonts w:eastAsia="Times"/>
          <w:b/>
          <w:spacing w:val="-4"/>
          <w:szCs w:val="28"/>
        </w:rPr>
        <w:t xml:space="preserve">)</w:t>
      </w:r>
      <w:r>
        <w:rPr>
          <w:rFonts w:eastAsia="Times"/>
          <w:b/>
          <w:spacing w:val="-4"/>
          <w:szCs w:val="28"/>
        </w:rPr>
        <w:t xml:space="preserve"> канала связи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703"/>
        <w:widowControl w:val="off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29960" cy="487743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29960" cy="487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4.80pt;height:384.0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703"/>
        <w:jc w:val="both"/>
        <w:widowControl w:val="off"/>
      </w:pPr>
      <w:r>
        <w:tab/>
      </w:r>
      <w:r>
        <w:t xml:space="preserve">Оснащенные беспроводными </w:t>
      </w:r>
      <w:r>
        <w:rPr>
          <w:lang w:val="en-US"/>
        </w:rPr>
        <w:t xml:space="preserve">ZigBee</w:t>
      </w:r>
      <w:r>
        <w:t xml:space="preserve"> модулями п</w:t>
      </w:r>
      <w:r>
        <w:t xml:space="preserve">риборы учета электроэнергии </w:t>
      </w:r>
      <w:r>
        <w:t xml:space="preserve">включаются в самоорганизующуюся сеть обмена данными, в которой каждый беспроводной модуль является ретранслятором, осуществляющим передачу информационных пакетов на </w:t>
      </w:r>
      <w:r>
        <w:t xml:space="preserve">ZigBee</w:t>
      </w:r>
      <w:r>
        <w:t xml:space="preserve"> шлюз.</w:t>
      </w:r>
      <w:r/>
    </w:p>
    <w:p>
      <w:pPr>
        <w:pStyle w:val="703"/>
        <w:ind w:firstLine="720"/>
        <w:jc w:val="both"/>
        <w:widowControl w:val="off"/>
      </w:pPr>
      <w:r>
        <w:t xml:space="preserve">И</w:t>
      </w:r>
      <w:r>
        <w:t xml:space="preserve">нформационный обмен с интеллектуальной системой учета гарантирующего поставщика осуществляется по проводному (</w:t>
      </w:r>
      <w:r>
        <w:rPr>
          <w:lang w:val="en-US"/>
        </w:rPr>
        <w:t xml:space="preserve">Ethernet</w:t>
      </w:r>
      <w:r>
        <w:t xml:space="preserve">)</w:t>
      </w:r>
      <w:r>
        <w:t xml:space="preserve"> каналу связи.</w:t>
      </w:r>
      <w:r/>
    </w:p>
    <w:p>
      <w:pPr>
        <w:pStyle w:val="703"/>
        <w:jc w:val="both"/>
        <w:widowControl w:val="off"/>
      </w:pPr>
      <w:r>
        <w:tab/>
        <w:t xml:space="preserve">Дополнительные требования:</w:t>
      </w:r>
      <w:r/>
    </w:p>
    <w:p>
      <w:pPr>
        <w:pStyle w:val="703"/>
        <w:numPr>
          <w:ilvl w:val="0"/>
          <w:numId w:val="21"/>
        </w:numPr>
        <w:jc w:val="both"/>
        <w:widowControl w:val="off"/>
        <w:rPr>
          <w:b/>
          <w:sz w:val="24"/>
          <w:szCs w:val="28"/>
        </w:rPr>
      </w:pPr>
      <w:r>
        <w:t xml:space="preserve">т</w:t>
      </w:r>
      <w:r>
        <w:t xml:space="preserve">ак как технология </w:t>
      </w:r>
      <w:r>
        <w:t xml:space="preserve">ZigBee</w:t>
      </w:r>
      <w:r>
        <w:t xml:space="preserve"> обеспечивает информационный обме</w:t>
      </w:r>
      <w:r>
        <w:t xml:space="preserve">н на расстояниях</w:t>
      </w:r>
      <w:r>
        <w:t xml:space="preserve"> в единицы метров, то данное техническое решение может быть использовано при условии оборудовании всех приборов учета модулями связи, при необходимости в дополнительной ретрансляции (например, между подъездами многоквартирного жилого дома) устанавливаются </w:t>
      </w:r>
      <w:r>
        <w:t xml:space="preserve">ZigBee</w:t>
      </w:r>
      <w:r>
        <w:t xml:space="preserve"> роутеры</w:t>
      </w:r>
      <w:r>
        <w:t xml:space="preserve">;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703"/>
        <w:numPr>
          <w:ilvl w:val="0"/>
          <w:numId w:val="21"/>
        </w:numPr>
        <w:jc w:val="both"/>
      </w:pPr>
      <w:r>
        <w:t xml:space="preserve">к</w:t>
      </w:r>
      <w:r>
        <w:t xml:space="preserve">оличество </w:t>
      </w:r>
      <w:r>
        <w:t xml:space="preserve">ZigBee</w:t>
      </w:r>
      <w:r>
        <w:t xml:space="preserve"> шлюзов и роутеров определяется с учетом осуществления ретрансляции, а также обеспечения передачи всех требуемых </w:t>
      </w:r>
      <w:r>
        <w:t xml:space="preserve">результатов измерений</w:t>
      </w:r>
      <w:r>
        <w:t xml:space="preserve"> с установленной Техническими условиями периодичностью;</w:t>
      </w:r>
      <w:r/>
    </w:p>
    <w:p>
      <w:pPr>
        <w:pStyle w:val="703"/>
        <w:numPr>
          <w:ilvl w:val="0"/>
          <w:numId w:val="21"/>
        </w:numPr>
        <w:jc w:val="both"/>
      </w:pPr>
      <w:r>
        <w:t xml:space="preserve">и</w:t>
      </w:r>
      <w:r>
        <w:t xml:space="preserve">спользовать приборы учета и </w:t>
      </w:r>
      <w:r>
        <w:t xml:space="preserve">ZigBee шлюз</w:t>
      </w:r>
      <w:r>
        <w:t xml:space="preserve">ы</w:t>
      </w:r>
      <w:r>
        <w:t xml:space="preserve">, совместимые с программным обеспечением центра сбора данных интеллектуальной систем</w:t>
      </w:r>
      <w:r>
        <w:t xml:space="preserve">ы </w:t>
      </w:r>
      <w:r>
        <w:t xml:space="preserve">учета </w:t>
      </w:r>
      <w:r>
        <w:t xml:space="preserve">ОО</w:t>
      </w:r>
      <w:r>
        <w:t xml:space="preserve">О «</w:t>
      </w:r>
      <w:r>
        <w:t xml:space="preserve">ЭСКБ</w:t>
      </w:r>
      <w:r>
        <w:t xml:space="preserve">»</w:t>
      </w:r>
      <w:r>
        <w:t xml:space="preserve">;</w:t>
      </w:r>
      <w:r/>
    </w:p>
    <w:p>
      <w:pPr>
        <w:pStyle w:val="703"/>
        <w:numPr>
          <w:ilvl w:val="0"/>
          <w:numId w:val="21"/>
        </w:numPr>
        <w:jc w:val="both"/>
        <w:widowControl w:val="off"/>
      </w:pPr>
      <w:r>
        <w:t xml:space="preserve">п</w:t>
      </w:r>
      <w:r>
        <w:t xml:space="preserve">роект организации учета требует согласования с </w:t>
      </w:r>
      <w:r>
        <w:t xml:space="preserve">ОО</w:t>
      </w:r>
      <w:r>
        <w:t xml:space="preserve">О «</w:t>
      </w:r>
      <w:r>
        <w:t xml:space="preserve">ЭСКБ</w:t>
      </w:r>
      <w:r>
        <w:t xml:space="preserve">»</w:t>
      </w:r>
      <w:r>
        <w:t xml:space="preserve">.</w:t>
      </w:r>
      <w:r>
        <w:t xml:space="preserve"> </w:t>
      </w:r>
      <w:r/>
    </w:p>
    <w:sectPr>
      <w:headerReference w:type="even" r:id="rId9"/>
      <w:footerReference w:type="default" r:id="rId10"/>
      <w:footerReference w:type="first" r:id="rId11"/>
      <w:footnotePr/>
      <w:endnotePr/>
      <w:type w:val="nextPage"/>
      <w:pgSz w:w="11899" w:h="16838" w:orient="portrait"/>
      <w:pgMar w:top="1134" w:right="709" w:bottom="1134" w:left="1701" w:header="709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Ti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</w:pPr>
    <w:r/>
    <w:r/>
  </w:p>
  <w:p>
    <w:pPr>
      <w:pStyle w:val="7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rPr>
        <w:rStyle w:val="710"/>
      </w:rPr>
      <w:framePr w:wrap="around" w:vAnchor="text" w:hAnchor="margin" w:xAlign="center" w:y="1"/>
    </w:pPr>
    <w:r>
      <w:rPr>
        <w:rStyle w:val="710"/>
      </w:rPr>
      <w:fldChar w:fldCharType="begin"/>
    </w:r>
    <w:r>
      <w:rPr>
        <w:rStyle w:val="710"/>
      </w:rPr>
      <w:instrText xml:space="preserve">PAGE  </w:instrText>
    </w:r>
    <w:r>
      <w:rPr>
        <w:rStyle w:val="710"/>
      </w:rPr>
      <w:fldChar w:fldCharType="separate"/>
    </w:r>
    <w:r>
      <w:rPr>
        <w:rStyle w:val="710"/>
      </w:rPr>
      <w:t xml:space="preserve">4</w:t>
    </w:r>
    <w:r>
      <w:rPr>
        <w:rStyle w:val="710"/>
      </w:rPr>
      <w:fldChar w:fldCharType="end"/>
    </w:r>
    <w:r>
      <w:rPr>
        <w:rStyle w:val="710"/>
      </w:rPr>
    </w:r>
    <w:r>
      <w:rPr>
        <w:rStyle w:val="710"/>
      </w:rPr>
    </w:r>
  </w:p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1003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29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2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5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498" w:hanging="180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1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4" w:hanging="2160"/>
      </w:pPr>
      <w:rPr>
        <w:b w:val="0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112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9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9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02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12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86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95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056" w:hanging="2160"/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4"/>
      <w:numFmt w:val="decimal"/>
      <w:isLgl w:val="false"/>
      <w:suff w:val="tab"/>
      <w:lvlText w:val="%1.%2"/>
      <w:lvlJc w:val="left"/>
      <w:pPr>
        <w:ind w:left="1112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9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9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02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12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86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95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056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  <w:tabs>
          <w:tab w:val="num" w:pos="1571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54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91" w:hanging="720"/>
        <w:tabs>
          <w:tab w:val="num" w:pos="2291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1080"/>
        <w:tabs>
          <w:tab w:val="num" w:pos="39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680" w:hanging="1080"/>
        <w:tabs>
          <w:tab w:val="num" w:pos="46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760" w:hanging="1440"/>
        <w:tabs>
          <w:tab w:val="num" w:pos="57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840" w:hanging="1800"/>
        <w:tabs>
          <w:tab w:val="num" w:pos="68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560" w:hanging="1800"/>
        <w:tabs>
          <w:tab w:val="num" w:pos="75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40" w:hanging="2160"/>
        <w:tabs>
          <w:tab w:val="num" w:pos="864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12" w:hanging="360"/>
        <w:tabs>
          <w:tab w:val="num" w:pos="1212" w:leader="none"/>
        </w:tabs>
      </w:pPr>
      <w:rPr>
        <w:rFonts w:ascii="Times New Roman" w:hAnsi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strike w:val="0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1112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9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9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02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12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86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95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056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715" w:hanging="432"/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b w:val="0"/>
        <w:i w:val="0"/>
        <w:sz w:val="28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224" w:hanging="504"/>
      </w:pPr>
      <w:rPr>
        <w:rFonts w:ascii="Courier New" w:hAnsi="Courier New"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144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10" w:hanging="1440"/>
        <w:tabs>
          <w:tab w:val="num" w:pos="211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780" w:hanging="1440"/>
        <w:tabs>
          <w:tab w:val="num" w:pos="27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450" w:hanging="1440"/>
        <w:tabs>
          <w:tab w:val="num" w:pos="345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120" w:hanging="1440"/>
        <w:tabs>
          <w:tab w:val="num" w:pos="41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440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820" w:hanging="1800"/>
        <w:tabs>
          <w:tab w:val="num" w:pos="58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90" w:hanging="1800"/>
        <w:tabs>
          <w:tab w:val="num" w:pos="649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20" w:hanging="2160"/>
        <w:tabs>
          <w:tab w:val="num" w:pos="7520" w:leader="none"/>
        </w:tabs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4"/>
  </w:num>
  <w:num w:numId="13">
    <w:abstractNumId w:val="5"/>
  </w:num>
  <w:num w:numId="14">
    <w:abstractNumId w:val="1"/>
  </w:num>
  <w:num w:numId="15">
    <w:abstractNumId w:val="10"/>
  </w:num>
  <w:num w:numId="16">
    <w:abstractNumId w:val="3"/>
  </w:num>
  <w:num w:numId="17">
    <w:abstractNumId w:val="17"/>
  </w:num>
  <w:num w:numId="18">
    <w:abstractNumId w:val="2"/>
  </w:num>
  <w:num w:numId="19">
    <w:abstractNumId w:val="14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3"/>
    <w:next w:val="7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3"/>
    <w:next w:val="7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next w:val="703"/>
    <w:link w:val="703"/>
    <w:qFormat/>
    <w:rPr>
      <w:bCs/>
      <w:color w:val="000000"/>
      <w:sz w:val="28"/>
      <w:lang w:val="ru-RU" w:eastAsia="ru-RU" w:bidi="ar-SA"/>
    </w:rPr>
  </w:style>
  <w:style w:type="paragraph" w:styleId="704">
    <w:name w:val="Заголовок 1"/>
    <w:basedOn w:val="703"/>
    <w:next w:val="703"/>
    <w:link w:val="718"/>
    <w:qFormat/>
    <w:pPr>
      <w:keepNext/>
      <w:outlineLvl w:val="0"/>
    </w:pPr>
    <w:rPr>
      <w:b/>
      <w:bCs w:val="0"/>
      <w:color w:val="000000"/>
      <w:sz w:val="18"/>
    </w:rPr>
  </w:style>
  <w:style w:type="paragraph" w:styleId="705">
    <w:name w:val="Заголовок 2"/>
    <w:basedOn w:val="703"/>
    <w:next w:val="703"/>
    <w:link w:val="703"/>
    <w:qFormat/>
    <w:pPr>
      <w:jc w:val="both"/>
      <w:keepNext/>
      <w:outlineLvl w:val="1"/>
    </w:pPr>
    <w:rPr>
      <w:b/>
      <w:bCs w:val="0"/>
    </w:rPr>
  </w:style>
  <w:style w:type="character" w:styleId="706">
    <w:name w:val="Основной шрифт абзаца"/>
    <w:next w:val="706"/>
    <w:link w:val="703"/>
    <w:uiPriority w:val="1"/>
    <w:semiHidden/>
    <w:unhideWhenUsed/>
  </w:style>
  <w:style w:type="table" w:styleId="707">
    <w:name w:val="Обычная таблица"/>
    <w:next w:val="707"/>
    <w:link w:val="703"/>
    <w:uiPriority w:val="99"/>
    <w:semiHidden/>
    <w:unhideWhenUsed/>
    <w:tblPr/>
  </w:style>
  <w:style w:type="numbering" w:styleId="708">
    <w:name w:val="Нет списка"/>
    <w:next w:val="708"/>
    <w:link w:val="703"/>
    <w:uiPriority w:val="99"/>
    <w:semiHidden/>
    <w:unhideWhenUsed/>
  </w:style>
  <w:style w:type="paragraph" w:styleId="709">
    <w:name w:val="Верхний колонтитул"/>
    <w:basedOn w:val="703"/>
    <w:next w:val="709"/>
    <w:link w:val="703"/>
    <w:pPr>
      <w:tabs>
        <w:tab w:val="center" w:pos="4677" w:leader="none"/>
        <w:tab w:val="right" w:pos="9355" w:leader="none"/>
      </w:tabs>
    </w:pPr>
    <w:rPr>
      <w:rFonts w:ascii="Times" w:hAnsi="Times" w:eastAsia="Times"/>
      <w:bCs w:val="0"/>
      <w:color w:val="000000"/>
      <w:sz w:val="24"/>
      <w:lang w:val="en-US"/>
    </w:rPr>
  </w:style>
  <w:style w:type="character" w:styleId="710">
    <w:name w:val="Номер страницы"/>
    <w:basedOn w:val="706"/>
    <w:next w:val="710"/>
    <w:link w:val="703"/>
  </w:style>
  <w:style w:type="paragraph" w:styleId="711">
    <w:name w:val="Основной текст с отступом"/>
    <w:basedOn w:val="703"/>
    <w:next w:val="711"/>
    <w:link w:val="703"/>
    <w:pPr>
      <w:ind w:firstLine="720"/>
      <w:jc w:val="both"/>
    </w:pPr>
  </w:style>
  <w:style w:type="paragraph" w:styleId="712">
    <w:name w:val="Цитата"/>
    <w:basedOn w:val="703"/>
    <w:next w:val="712"/>
    <w:link w:val="703"/>
    <w:pPr>
      <w:ind w:left="-142" w:right="-2" w:firstLine="142"/>
      <w:jc w:val="both"/>
    </w:pPr>
    <w:rPr>
      <w:bCs w:val="0"/>
      <w:color w:val="000000"/>
      <w:sz w:val="26"/>
    </w:rPr>
  </w:style>
  <w:style w:type="paragraph" w:styleId="713">
    <w:name w:val="Основной текст"/>
    <w:basedOn w:val="703"/>
    <w:next w:val="713"/>
    <w:link w:val="703"/>
    <w:pPr>
      <w:jc w:val="both"/>
    </w:pPr>
    <w:rPr>
      <w:b/>
      <w:bCs w:val="0"/>
      <w:sz w:val="24"/>
    </w:rPr>
  </w:style>
  <w:style w:type="paragraph" w:styleId="714">
    <w:name w:val="Основной текст 2"/>
    <w:basedOn w:val="703"/>
    <w:next w:val="714"/>
    <w:link w:val="703"/>
    <w:pPr>
      <w:ind w:right="-2"/>
      <w:jc w:val="both"/>
    </w:pPr>
  </w:style>
  <w:style w:type="paragraph" w:styleId="715">
    <w:name w:val="Основной текст с отступом 2"/>
    <w:basedOn w:val="703"/>
    <w:next w:val="715"/>
    <w:link w:val="703"/>
    <w:pPr>
      <w:ind w:right="-2" w:firstLine="75"/>
      <w:jc w:val="both"/>
    </w:pPr>
  </w:style>
  <w:style w:type="paragraph" w:styleId="716">
    <w:name w:val="Основной текст с отступом 3"/>
    <w:basedOn w:val="703"/>
    <w:next w:val="716"/>
    <w:link w:val="703"/>
    <w:pPr>
      <w:ind w:right="-2" w:firstLine="737"/>
      <w:jc w:val="both"/>
    </w:pPr>
  </w:style>
  <w:style w:type="paragraph" w:styleId="717">
    <w:name w:val="Нижний колонтитул"/>
    <w:basedOn w:val="703"/>
    <w:next w:val="717"/>
    <w:link w:val="730"/>
    <w:uiPriority w:val="99"/>
    <w:pPr>
      <w:tabs>
        <w:tab w:val="center" w:pos="4677" w:leader="none"/>
        <w:tab w:val="right" w:pos="9355" w:leader="none"/>
      </w:tabs>
    </w:pPr>
  </w:style>
  <w:style w:type="character" w:styleId="718">
    <w:name w:val="Заголовок 1 Знак"/>
    <w:next w:val="718"/>
    <w:link w:val="704"/>
    <w:rPr>
      <w:b/>
      <w:sz w:val="18"/>
    </w:rPr>
  </w:style>
  <w:style w:type="paragraph" w:styleId="719">
    <w:name w:val="Текст выноски"/>
    <w:basedOn w:val="703"/>
    <w:next w:val="719"/>
    <w:link w:val="720"/>
    <w:rPr>
      <w:rFonts w:cs="Segoe UI"/>
      <w:sz w:val="24"/>
      <w:szCs w:val="18"/>
    </w:rPr>
  </w:style>
  <w:style w:type="character" w:styleId="720">
    <w:name w:val="Текст выноски Знак"/>
    <w:next w:val="720"/>
    <w:link w:val="719"/>
    <w:rPr>
      <w:rFonts w:cs="Segoe UI"/>
      <w:bCs/>
      <w:color w:val="000000"/>
      <w:sz w:val="24"/>
      <w:szCs w:val="18"/>
    </w:rPr>
  </w:style>
  <w:style w:type="character" w:styleId="721">
    <w:name w:val="Знак примечания"/>
    <w:next w:val="721"/>
    <w:link w:val="703"/>
    <w:rPr>
      <w:sz w:val="16"/>
      <w:szCs w:val="16"/>
    </w:rPr>
  </w:style>
  <w:style w:type="paragraph" w:styleId="722">
    <w:name w:val="Текст примечания"/>
    <w:basedOn w:val="703"/>
    <w:next w:val="722"/>
    <w:link w:val="723"/>
    <w:rPr>
      <w:sz w:val="20"/>
    </w:rPr>
  </w:style>
  <w:style w:type="character" w:styleId="723">
    <w:name w:val="Текст примечания Знак"/>
    <w:next w:val="723"/>
    <w:link w:val="722"/>
    <w:rPr>
      <w:bCs/>
      <w:color w:val="000000"/>
    </w:rPr>
  </w:style>
  <w:style w:type="paragraph" w:styleId="724">
    <w:name w:val="Тема примечания"/>
    <w:basedOn w:val="722"/>
    <w:next w:val="722"/>
    <w:link w:val="725"/>
    <w:rPr>
      <w:b/>
    </w:rPr>
  </w:style>
  <w:style w:type="character" w:styleId="725">
    <w:name w:val="Тема примечания Знак"/>
    <w:next w:val="725"/>
    <w:link w:val="724"/>
    <w:rPr>
      <w:b/>
      <w:bCs/>
      <w:color w:val="000000"/>
    </w:rPr>
  </w:style>
  <w:style w:type="paragraph" w:styleId="726">
    <w:name w:val="Абзац списка"/>
    <w:basedOn w:val="703"/>
    <w:next w:val="726"/>
    <w:link w:val="703"/>
    <w:uiPriority w:val="34"/>
    <w:qFormat/>
    <w:pPr>
      <w:contextualSpacing/>
      <w:ind w:left="720"/>
    </w:pPr>
  </w:style>
  <w:style w:type="paragraph" w:styleId="727">
    <w:name w:val="ConsPlusNormal"/>
    <w:next w:val="727"/>
    <w:link w:val="703"/>
    <w:pPr>
      <w:widowControl w:val="off"/>
    </w:pPr>
    <w:rPr>
      <w:sz w:val="24"/>
      <w:szCs w:val="24"/>
      <w:lang w:val="ru-RU" w:eastAsia="ru-RU" w:bidi="ar-SA"/>
    </w:rPr>
  </w:style>
  <w:style w:type="paragraph" w:styleId="728">
    <w:name w:val="Рецензия"/>
    <w:next w:val="728"/>
    <w:link w:val="703"/>
    <w:hidden/>
    <w:uiPriority w:val="99"/>
    <w:semiHidden/>
    <w:rPr>
      <w:bCs/>
      <w:color w:val="000000"/>
      <w:sz w:val="28"/>
      <w:lang w:val="ru-RU" w:eastAsia="ru-RU" w:bidi="ar-SA"/>
    </w:rPr>
  </w:style>
  <w:style w:type="character" w:styleId="729">
    <w:name w:val="Гиперссылка"/>
    <w:next w:val="729"/>
    <w:link w:val="703"/>
    <w:uiPriority w:val="99"/>
    <w:unhideWhenUsed/>
    <w:rPr>
      <w:color w:val="0000ff"/>
      <w:u w:val="single"/>
    </w:rPr>
  </w:style>
  <w:style w:type="character" w:styleId="730">
    <w:name w:val="Нижний колонтитул Знак"/>
    <w:next w:val="730"/>
    <w:link w:val="717"/>
    <w:uiPriority w:val="99"/>
    <w:rPr>
      <w:bCs/>
      <w:color w:val="000000"/>
      <w:sz w:val="28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energosbyt</Company>
  <DocSecurity>4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energosbyt</dc:creator>
  <cp:revision>3</cp:revision>
  <dcterms:created xsi:type="dcterms:W3CDTF">2023-04-14T05:53:00Z</dcterms:created>
  <dcterms:modified xsi:type="dcterms:W3CDTF">2025-03-10T04:54:14Z</dcterms:modified>
  <cp:version>1048576</cp:version>
</cp:coreProperties>
</file>